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b9d81802c494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14937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DR. ANTE STARČEVIĆA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1.369.136,95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1.418.618,76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1.567.058,17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1.457.790,60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197.921,22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39.171,84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7.976,61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11.072,09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7.976,61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11.072,09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138,8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205.897,83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50.243,93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24,4</w:t>
            </w:r>
          </w:p>
        </w:tc>
      </w:tr>
    </w:tbl>
    <w:p>
      <w:pPr>
        <w:spacing w:before="0" w:after="0"/>
      </w:pPr>
    </w:p>
    <w:p>
      <w:r>
        <w:t xml:space="preserve">Manjak prihoda u razdoblju je metodološki manjak iz razloga što je knjiženo 6 rashoda za isplatu plaća i naknada finaciranih iz Gradskog proračuna (produženi boravak, pomoćnici u nastavi,, e-tehničar, školski odbor a 5 prihoda, zatim knjiženje rashoda za osiguranje imovine, rashodi za energente sufinanciranje prehrane učenika, nerefundirana a knjižena zamjena dasaka na klupama i stolovima uz odobrenje Gradskog ureda, rashodi za prehranu učenika financiranih od strane MZOM-a za svibanj i lipanj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Upravne i administrativne pristojbe (šifre 6511 do 6514)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300</w:t>
            </w:r>
          </w:p>
        </w:tc>
      </w:tr>
    </w:tbl>
    <w:p>
      <w:pPr>
        <w:spacing w:before="0" w:after="0"/>
      </w:pPr>
    </w:p>
    <w:p>
      <w:r>
        <w:t xml:space="preserve">Povećan broj zahtjeva za duplikat svjedodžbe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posebne uvjete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24.686,95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30.376,94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123,0</w:t>
            </w:r>
          </w:p>
        </w:tc>
      </w:tr>
    </w:tbl>
    <w:p>
      <w:pPr>
        <w:spacing w:before="0" w:after="0"/>
      </w:pPr>
    </w:p>
    <w:p>
      <w:r>
        <w:t xml:space="preserve">Povećan broj učenika s prilagođenim programom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237,78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240,7</w:t>
            </w:r>
          </w:p>
        </w:tc>
      </w:tr>
    </w:tbl>
    <w:p>
      <w:pPr>
        <w:spacing w:before="0" w:after="0"/>
      </w:pPr>
    </w:p>
    <w:p>
      <w:r>
        <w:t xml:space="preserve">Iz viška prihoda proteklog razdoblja nabavljeni panoi za učionice, mikrofon i oprema za tjelesni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569,22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7.158,15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1257,5</w:t>
            </w:r>
          </w:p>
        </w:tc>
      </w:tr>
    </w:tbl>
    <w:p>
      <w:pPr>
        <w:spacing w:before="0" w:after="0"/>
      </w:pPr>
    </w:p>
    <w:p>
      <w:r>
        <w:t xml:space="preserve">Povećanje u odnosu na proteklo razdoblje - prijevoz učenika na obuku plivanja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232,6</w:t>
            </w:r>
          </w:p>
        </w:tc>
      </w:tr>
    </w:tbl>
    <w:p>
      <w:pPr>
        <w:spacing w:before="0" w:after="0"/>
      </w:pPr>
    </w:p>
    <w:p>
      <w:r>
        <w:t xml:space="preserve">povećanje u odnosu na proteklo razdoblje rashod za "Sociogram" aplikacija namijenjena stručnoj službi škole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2.166,16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5.413,41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249,9</w:t>
            </w:r>
          </w:p>
        </w:tc>
      </w:tr>
    </w:tbl>
    <w:p>
      <w:pPr>
        <w:spacing w:before="0" w:after="0"/>
      </w:pPr>
    </w:p>
    <w:p>
      <w:r>
        <w:t xml:space="preserve">Povećan broj sjednica Školskog odbora zbog zapošljavanja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735,03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441,0</w:t>
            </w:r>
          </w:p>
        </w:tc>
      </w:tr>
    </w:tbl>
    <w:p>
      <w:pPr>
        <w:spacing w:before="0" w:after="0"/>
      </w:pPr>
    </w:p>
    <w:p>
      <w:r>
        <w:t xml:space="preserve">povećani rashodi za nabavu računalne opreme, opreme za održavanje škole, namještaja za učionice iz viška prihoda proteklog razdoblja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935,0</w:t>
            </w:r>
          </w:p>
        </w:tc>
      </w:tr>
    </w:tbl>
    <w:p>
      <w:pPr>
        <w:spacing w:before="0" w:after="0"/>
      </w:pPr>
    </w:p>
    <w:p>
      <w:r>
        <w:t xml:space="preserve">Knjižen rashod za nabavu slikovnica za šk. knjižnicu i bespl. udžbenika za šk. god 2025/2026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od nefinancijske imovine - preneseni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3.928,07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44.751,84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1139,3</w:t>
            </w:r>
          </w:p>
        </w:tc>
      </w:tr>
    </w:tbl>
    <w:p>
      <w:pPr>
        <w:spacing w:before="0" w:after="0"/>
      </w:pPr>
    </w:p>
    <w:p>
      <w:r>
        <w:t xml:space="preserve">Manjak prihoda nefinancijeske imovine odnosi se na nabavu nefinancijske imovine je preneseni manjak iz proteklog razdoblja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9222-9221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- preneseni (šifre '9221x,9222x MP' - '9221x,9222x VP' + 92223 - 92213)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9222-9221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119.616,51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preneseni manjak prihoda u iznosu od 119.616,51 razlikuje se od manjka prihoda iz fin. izvještaja 31.12.2025. za iznos od 1697,61 a odnosi se na zaprimljene ulazne račune iz 2025.g. nakon predaje izvještaja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ka kraju izvještajnog razdoblja  je 226.198,59 od toga su nedospjele obveze prema dobavljačima 15.663,33, plaće i obveze za bolovanje na teret HZZO-a 210.535,26, dospjele obveze su podmirene do 30.06.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b589d6c2454201" /></Relationships>
</file>