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03013BC1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D71C06">
        <w:t>5</w:t>
      </w:r>
      <w:r w:rsidR="00247B7E">
        <w:t>-01/</w:t>
      </w:r>
      <w:r w:rsidR="00D71C06">
        <w:t>05</w:t>
      </w:r>
    </w:p>
    <w:p w14:paraId="357E717E" w14:textId="71F7D64B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D71C06">
        <w:t>5</w:t>
      </w:r>
      <w:r w:rsidR="00247B7E">
        <w:t>-1</w:t>
      </w:r>
      <w:r>
        <w:t xml:space="preserve"> </w:t>
      </w:r>
    </w:p>
    <w:p w14:paraId="4ED4B162" w14:textId="3A38D9A9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D71C06">
        <w:rPr>
          <w:lang w:val="it-IT"/>
        </w:rPr>
        <w:t>21</w:t>
      </w:r>
      <w:r>
        <w:rPr>
          <w:lang w:val="it-IT"/>
        </w:rPr>
        <w:t>.</w:t>
      </w:r>
      <w:r w:rsidR="00D71C06">
        <w:rPr>
          <w:lang w:val="it-IT"/>
        </w:rPr>
        <w:t>01</w:t>
      </w:r>
      <w:r w:rsidR="00770556">
        <w:rPr>
          <w:lang w:val="it-IT"/>
        </w:rPr>
        <w:t>.202</w:t>
      </w:r>
      <w:r w:rsidR="00D71C06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6B659CE6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</w:t>
      </w:r>
      <w:r w:rsidR="00733FCD">
        <w:t>,</w:t>
      </w:r>
      <w:r w:rsidR="0098694C">
        <w:t xml:space="preserve"> 151/22</w:t>
      </w:r>
      <w:r w:rsidR="00733FCD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4D2E05A6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A17EE8">
        <w:t>povijesti</w:t>
      </w:r>
      <w:r w:rsidR="00182D2C">
        <w:t xml:space="preserve"> </w:t>
      </w:r>
      <w:r w:rsidR="003A2D05">
        <w:t xml:space="preserve">na </w:t>
      </w:r>
      <w:r w:rsidR="00A17EE8">
        <w:t>ne</w:t>
      </w:r>
      <w:r w:rsidR="00365663">
        <w:t xml:space="preserve">puno 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D71C06">
        <w:t>10</w:t>
      </w:r>
      <w:r w:rsidR="00182D2C">
        <w:t xml:space="preserve">. </w:t>
      </w:r>
      <w:r w:rsidR="00147420">
        <w:t>siječnja</w:t>
      </w:r>
      <w:r w:rsidR="00365663">
        <w:t xml:space="preserve"> 202</w:t>
      </w:r>
      <w:r w:rsidR="00147420">
        <w:t>5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4D804F4D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147420">
        <w:rPr>
          <w:b/>
        </w:rPr>
        <w:t>24</w:t>
      </w:r>
      <w:r w:rsidR="00182D2C" w:rsidRPr="003A31FA">
        <w:rPr>
          <w:b/>
        </w:rPr>
        <w:t xml:space="preserve">. </w:t>
      </w:r>
      <w:r w:rsidR="00147420">
        <w:rPr>
          <w:b/>
        </w:rPr>
        <w:t>siječnja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147420">
        <w:rPr>
          <w:b/>
        </w:rPr>
        <w:t>5</w:t>
      </w:r>
      <w:r w:rsidRPr="003A31FA">
        <w:rPr>
          <w:b/>
        </w:rPr>
        <w:t>. godine (</w:t>
      </w:r>
      <w:r w:rsidR="00147420">
        <w:rPr>
          <w:b/>
        </w:rPr>
        <w:t>petak</w:t>
      </w:r>
      <w:r w:rsidRPr="003A31FA">
        <w:rPr>
          <w:b/>
        </w:rPr>
        <w:t xml:space="preserve">) s početkom u </w:t>
      </w:r>
      <w:r w:rsidR="00075BD1">
        <w:rPr>
          <w:b/>
        </w:rPr>
        <w:t>8</w:t>
      </w:r>
      <w:r w:rsidRPr="003A31FA">
        <w:rPr>
          <w:b/>
        </w:rPr>
        <w:t>:</w:t>
      </w:r>
      <w:r w:rsidR="00075BD1">
        <w:rPr>
          <w:b/>
        </w:rPr>
        <w:t>00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 xml:space="preserve">, </w:t>
      </w:r>
      <w:r w:rsidR="008C642B">
        <w:rPr>
          <w:b/>
        </w:rPr>
        <w:t>S</w:t>
      </w:r>
      <w:r w:rsidR="00DD266D">
        <w:rPr>
          <w:b/>
        </w:rPr>
        <w:t>v. Leopolda Mandića 55.</w:t>
      </w: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7752BA4" w14:textId="77777777" w:rsidR="00FF1B0C" w:rsidRDefault="00FF1B0C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0A2DBB40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 xml:space="preserve">Pri procjeni, odnosno, vrednovanju kandidata za učitelja/icu </w:t>
      </w:r>
      <w:r w:rsidR="00FF1B0C">
        <w:rPr>
          <w:rFonts w:ascii="Arial" w:hAnsi="Arial" w:cs="Arial"/>
          <w:sz w:val="20"/>
          <w:szCs w:val="20"/>
        </w:rPr>
        <w:t>povijesti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303C5339" w:rsidR="00D603E4" w:rsidRPr="00D603E4" w:rsidRDefault="00ED5D06" w:rsidP="008A5656">
      <w:pPr>
        <w:spacing w:before="240"/>
        <w:ind w:left="284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CF3CE2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CF3CE2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left="284" w:hanging="284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487AF34F" w:rsidR="00ED5D06" w:rsidRPr="00D603E4" w:rsidRDefault="00ED5D06" w:rsidP="008A5656">
      <w:pPr>
        <w:numPr>
          <w:ilvl w:val="0"/>
          <w:numId w:val="2"/>
        </w:numPr>
        <w:spacing w:before="240" w:after="5" w:line="269" w:lineRule="auto"/>
        <w:ind w:hanging="312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</w:t>
      </w:r>
      <w:r w:rsidR="00324773">
        <w:rPr>
          <w:rFonts w:ascii="Arial" w:hAnsi="Arial" w:cs="Arial"/>
          <w:sz w:val="20"/>
          <w:szCs w:val="20"/>
        </w:rPr>
        <w:t xml:space="preserve">, 60/20, </w:t>
      </w:r>
      <w:r w:rsidR="00F52571">
        <w:rPr>
          <w:rFonts w:ascii="Arial" w:hAnsi="Arial" w:cs="Arial"/>
          <w:sz w:val="20"/>
          <w:szCs w:val="20"/>
        </w:rPr>
        <w:t>32/21</w:t>
      </w:r>
      <w:r w:rsidRPr="00D603E4">
        <w:rPr>
          <w:rFonts w:ascii="Arial" w:hAnsi="Arial" w:cs="Arial"/>
          <w:sz w:val="20"/>
          <w:szCs w:val="20"/>
        </w:rPr>
        <w:t>).</w:t>
      </w:r>
    </w:p>
    <w:p w14:paraId="787478CD" w14:textId="2C2EEA2F" w:rsidR="00ED5D06" w:rsidRPr="00D603E4" w:rsidRDefault="00ED5D06" w:rsidP="008A5656">
      <w:pPr>
        <w:spacing w:before="240" w:after="5" w:line="269" w:lineRule="auto"/>
        <w:ind w:left="19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-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60841"/>
    <w:rsid w:val="00075BD1"/>
    <w:rsid w:val="000A69EF"/>
    <w:rsid w:val="000E6AEA"/>
    <w:rsid w:val="0010277A"/>
    <w:rsid w:val="00147420"/>
    <w:rsid w:val="00161841"/>
    <w:rsid w:val="00182D2C"/>
    <w:rsid w:val="00247B7E"/>
    <w:rsid w:val="0028799D"/>
    <w:rsid w:val="002C704C"/>
    <w:rsid w:val="002D743E"/>
    <w:rsid w:val="002D7F28"/>
    <w:rsid w:val="00324773"/>
    <w:rsid w:val="00340F8E"/>
    <w:rsid w:val="00357EF9"/>
    <w:rsid w:val="00365663"/>
    <w:rsid w:val="00396E81"/>
    <w:rsid w:val="003A2D05"/>
    <w:rsid w:val="003A31FA"/>
    <w:rsid w:val="004275E8"/>
    <w:rsid w:val="00455913"/>
    <w:rsid w:val="004603DC"/>
    <w:rsid w:val="004A0B9C"/>
    <w:rsid w:val="0057362C"/>
    <w:rsid w:val="00665D78"/>
    <w:rsid w:val="00670D0F"/>
    <w:rsid w:val="006771F9"/>
    <w:rsid w:val="006E02E7"/>
    <w:rsid w:val="00733FCD"/>
    <w:rsid w:val="00754BF9"/>
    <w:rsid w:val="00770556"/>
    <w:rsid w:val="007C2533"/>
    <w:rsid w:val="007E4695"/>
    <w:rsid w:val="0087719A"/>
    <w:rsid w:val="00881A22"/>
    <w:rsid w:val="00886387"/>
    <w:rsid w:val="008A5656"/>
    <w:rsid w:val="008B641A"/>
    <w:rsid w:val="008C642B"/>
    <w:rsid w:val="00902F62"/>
    <w:rsid w:val="00916D1E"/>
    <w:rsid w:val="0098694C"/>
    <w:rsid w:val="009B0920"/>
    <w:rsid w:val="00A17EE8"/>
    <w:rsid w:val="00A33194"/>
    <w:rsid w:val="00A42B9F"/>
    <w:rsid w:val="00A47613"/>
    <w:rsid w:val="00AD67DB"/>
    <w:rsid w:val="00B51630"/>
    <w:rsid w:val="00B67C61"/>
    <w:rsid w:val="00BD262D"/>
    <w:rsid w:val="00C73C63"/>
    <w:rsid w:val="00C909DB"/>
    <w:rsid w:val="00CB004A"/>
    <w:rsid w:val="00CF3CE2"/>
    <w:rsid w:val="00D32DE9"/>
    <w:rsid w:val="00D603E4"/>
    <w:rsid w:val="00D71C06"/>
    <w:rsid w:val="00DD266D"/>
    <w:rsid w:val="00DE21F1"/>
    <w:rsid w:val="00E37E34"/>
    <w:rsid w:val="00E403EA"/>
    <w:rsid w:val="00E53FDA"/>
    <w:rsid w:val="00E84AA5"/>
    <w:rsid w:val="00E953EB"/>
    <w:rsid w:val="00EB69E3"/>
    <w:rsid w:val="00ED5D06"/>
    <w:rsid w:val="00EF2FBC"/>
    <w:rsid w:val="00F32C24"/>
    <w:rsid w:val="00F52571"/>
    <w:rsid w:val="00F54863"/>
    <w:rsid w:val="00F94E23"/>
    <w:rsid w:val="00F97127"/>
    <w:rsid w:val="00FE5937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61</cp:revision>
  <dcterms:created xsi:type="dcterms:W3CDTF">2022-12-12T13:40:00Z</dcterms:created>
  <dcterms:modified xsi:type="dcterms:W3CDTF">2025-01-21T14:23:00Z</dcterms:modified>
</cp:coreProperties>
</file>